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63" w:rsidRDefault="00AB0963"/>
    <w:p w:rsidR="000314F4" w:rsidRDefault="000314F4"/>
    <w:p w:rsidR="000314F4" w:rsidRDefault="000314F4"/>
    <w:p w:rsidR="000314F4" w:rsidRDefault="000314F4"/>
    <w:p w:rsidR="00177B36" w:rsidRPr="00177B36" w:rsidRDefault="00177B36" w:rsidP="00526A8E">
      <w:pPr>
        <w:jc w:val="center"/>
        <w:rPr>
          <w:sz w:val="22"/>
          <w:szCs w:val="22"/>
          <w:u w:val="single"/>
        </w:rPr>
      </w:pPr>
      <w:r w:rsidRPr="00177B36">
        <w:rPr>
          <w:b/>
          <w:noProof/>
          <w:sz w:val="22"/>
          <w:szCs w:val="22"/>
          <w:lang w:eastAsia="en-US"/>
        </w:rPr>
        <w:drawing>
          <wp:inline distT="0" distB="0" distL="0" distR="0" wp14:anchorId="09EB1660" wp14:editId="1AC617CD">
            <wp:extent cx="2085975" cy="150814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41" cy="1545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B36" w:rsidRPr="00C90389" w:rsidRDefault="00177B36" w:rsidP="00526A8E">
      <w:pPr>
        <w:jc w:val="center"/>
        <w:rPr>
          <w:b/>
        </w:rPr>
      </w:pPr>
      <w:r w:rsidRPr="00C90389">
        <w:rPr>
          <w:b/>
        </w:rPr>
        <w:t>Advanced Energy Capital</w:t>
      </w:r>
    </w:p>
    <w:p w:rsidR="00177B36" w:rsidRPr="00C90389" w:rsidRDefault="00177B36" w:rsidP="00526A8E">
      <w:pPr>
        <w:jc w:val="center"/>
      </w:pPr>
      <w:r w:rsidRPr="00C90389">
        <w:t>165 Remsen Street, 2</w:t>
      </w:r>
      <w:r w:rsidRPr="00C90389">
        <w:rPr>
          <w:vertAlign w:val="superscript"/>
        </w:rPr>
        <w:t>nd</w:t>
      </w:r>
      <w:r w:rsidRPr="00C90389">
        <w:t xml:space="preserve"> Floor</w:t>
      </w:r>
    </w:p>
    <w:p w:rsidR="00177B36" w:rsidRPr="00C90389" w:rsidRDefault="00177B36" w:rsidP="00526A8E">
      <w:pPr>
        <w:jc w:val="center"/>
      </w:pPr>
      <w:r w:rsidRPr="00C90389">
        <w:t>Brooklyn, NY 11201</w:t>
      </w:r>
    </w:p>
    <w:p w:rsidR="00177B36" w:rsidRPr="00C90389" w:rsidRDefault="00177B36" w:rsidP="00526A8E">
      <w:pPr>
        <w:jc w:val="center"/>
      </w:pPr>
    </w:p>
    <w:p w:rsidR="00177B36" w:rsidRPr="00C90389" w:rsidRDefault="00177B36" w:rsidP="00526A8E">
      <w:pPr>
        <w:jc w:val="center"/>
      </w:pPr>
      <w:r w:rsidRPr="00C90389">
        <w:t>Jack Doueck</w:t>
      </w:r>
    </w:p>
    <w:p w:rsidR="00B93A10" w:rsidRPr="00C90389" w:rsidRDefault="00B93A10" w:rsidP="00526A8E">
      <w:pPr>
        <w:jc w:val="center"/>
      </w:pPr>
      <w:r w:rsidRPr="00C90389">
        <w:t>Phone: (347) 799-1685 x207</w:t>
      </w:r>
    </w:p>
    <w:p w:rsidR="00177B36" w:rsidRPr="00C90389" w:rsidRDefault="00B93A10" w:rsidP="00526A8E">
      <w:pPr>
        <w:jc w:val="center"/>
        <w:rPr>
          <w:rStyle w:val="Hyperlink"/>
        </w:rPr>
      </w:pPr>
      <w:r w:rsidRPr="00C90389">
        <w:t xml:space="preserve">Email: </w:t>
      </w:r>
      <w:hyperlink r:id="rId10" w:history="1">
        <w:r w:rsidR="00177B36" w:rsidRPr="00C90389">
          <w:rPr>
            <w:rStyle w:val="Hyperlink"/>
          </w:rPr>
          <w:t>jd@advancedenergycap.com</w:t>
        </w:r>
      </w:hyperlink>
    </w:p>
    <w:p w:rsidR="00B93A10" w:rsidRPr="00C90389" w:rsidRDefault="00B93A10" w:rsidP="00526A8E">
      <w:pPr>
        <w:jc w:val="center"/>
      </w:pPr>
      <w:r w:rsidRPr="00C90389">
        <w:t xml:space="preserve">Website: </w:t>
      </w:r>
      <w:hyperlink r:id="rId11" w:history="1">
        <w:r w:rsidRPr="00C90389">
          <w:rPr>
            <w:rStyle w:val="Hyperlink"/>
          </w:rPr>
          <w:t>www.advancedenergycap.com</w:t>
        </w:r>
      </w:hyperlink>
    </w:p>
    <w:p w:rsidR="00B93A10" w:rsidRPr="00C90389" w:rsidRDefault="00B93A10" w:rsidP="00526A8E">
      <w:pPr>
        <w:jc w:val="center"/>
      </w:pPr>
    </w:p>
    <w:p w:rsidR="001C7784" w:rsidRPr="00B413C4" w:rsidRDefault="001C7784" w:rsidP="001C7784">
      <w:pPr>
        <w:rPr>
          <w:sz w:val="21"/>
          <w:szCs w:val="21"/>
        </w:rPr>
      </w:pPr>
      <w:r w:rsidRPr="00B413C4">
        <w:rPr>
          <w:sz w:val="21"/>
          <w:szCs w:val="21"/>
        </w:rPr>
        <w:t>Advanced Energy Capital (AEC) is a New York-based finance company dedicated to serving the energy industry</w:t>
      </w:r>
      <w:r w:rsidR="00364AFF">
        <w:rPr>
          <w:sz w:val="21"/>
          <w:szCs w:val="21"/>
        </w:rPr>
        <w:t xml:space="preserve"> with a special focus on the competitive energy landscape</w:t>
      </w:r>
      <w:r w:rsidRPr="00B413C4">
        <w:rPr>
          <w:sz w:val="21"/>
          <w:szCs w:val="21"/>
        </w:rPr>
        <w:t>. AEC's mission is to assist the industry in its growth and expansion.  Through its strategic alliance with a major national energy wholesaler,</w:t>
      </w:r>
      <w:r w:rsidR="00364AFF">
        <w:rPr>
          <w:sz w:val="21"/>
          <w:szCs w:val="21"/>
        </w:rPr>
        <w:t xml:space="preserve"> as well as its relationship with a leading industry incubator,</w:t>
      </w:r>
      <w:r w:rsidRPr="00B413C4">
        <w:rPr>
          <w:sz w:val="21"/>
          <w:szCs w:val="21"/>
        </w:rPr>
        <w:t xml:space="preserve"> AEC provides turn-key credit and supply solutions for Retail Energy Providers (“REPs”). In addition, AEC offers </w:t>
      </w:r>
      <w:r w:rsidR="00364AFF">
        <w:rPr>
          <w:sz w:val="21"/>
          <w:szCs w:val="21"/>
        </w:rPr>
        <w:t xml:space="preserve">ESCOs and </w:t>
      </w:r>
      <w:r w:rsidRPr="00B413C4">
        <w:rPr>
          <w:sz w:val="21"/>
          <w:szCs w:val="21"/>
        </w:rPr>
        <w:t xml:space="preserve">REPs many alternative financing </w:t>
      </w:r>
      <w:r w:rsidR="00364AFF" w:rsidRPr="00B413C4">
        <w:rPr>
          <w:sz w:val="21"/>
          <w:szCs w:val="21"/>
        </w:rPr>
        <w:t>op</w:t>
      </w:r>
      <w:r w:rsidR="00364AFF">
        <w:rPr>
          <w:sz w:val="21"/>
          <w:szCs w:val="21"/>
        </w:rPr>
        <w:t>tion</w:t>
      </w:r>
      <w:r w:rsidR="00364AFF" w:rsidRPr="00B413C4">
        <w:rPr>
          <w:sz w:val="21"/>
          <w:szCs w:val="21"/>
        </w:rPr>
        <w:t xml:space="preserve">s </w:t>
      </w:r>
      <w:r w:rsidRPr="00B413C4">
        <w:rPr>
          <w:sz w:val="21"/>
          <w:szCs w:val="21"/>
        </w:rPr>
        <w:t>which include an Incubator Program for startups, a Cash Advance Program for growth, and "Synthetic POR" which enables REPs to sell in Non-POR states and territories.  AEC assists clients with term loans, acts as a Finder in capital raising endeavors, and has provided</w:t>
      </w:r>
      <w:r w:rsidR="00364AFF">
        <w:rPr>
          <w:sz w:val="21"/>
          <w:szCs w:val="21"/>
        </w:rPr>
        <w:t xml:space="preserve"> informal</w:t>
      </w:r>
      <w:r w:rsidRPr="00B413C4">
        <w:rPr>
          <w:sz w:val="21"/>
          <w:szCs w:val="21"/>
        </w:rPr>
        <w:t xml:space="preserve"> introductions in the mergers and acquisitions arena, as well. The AEC Consulting Services Division assists REP startups from inception to growth.  AEC's management has financed over $400 million in energy sales and has managed over $1.3 billion in</w:t>
      </w:r>
      <w:r w:rsidR="00364AFF">
        <w:rPr>
          <w:sz w:val="21"/>
          <w:szCs w:val="21"/>
        </w:rPr>
        <w:t xml:space="preserve"> a variety</w:t>
      </w:r>
      <w:r w:rsidRPr="00B413C4">
        <w:rPr>
          <w:sz w:val="21"/>
          <w:szCs w:val="21"/>
        </w:rPr>
        <w:t xml:space="preserve"> direct</w:t>
      </w:r>
      <w:r w:rsidR="00364AFF">
        <w:rPr>
          <w:sz w:val="21"/>
          <w:szCs w:val="21"/>
        </w:rPr>
        <w:t xml:space="preserve"> and indirect</w:t>
      </w:r>
      <w:r w:rsidRPr="00B413C4">
        <w:rPr>
          <w:sz w:val="21"/>
          <w:szCs w:val="21"/>
        </w:rPr>
        <w:t xml:space="preserve"> lending investment strategies. Via AEC’s </w:t>
      </w:r>
      <w:r w:rsidR="00364AFF">
        <w:rPr>
          <w:sz w:val="21"/>
          <w:szCs w:val="21"/>
        </w:rPr>
        <w:t xml:space="preserve">pending </w:t>
      </w:r>
      <w:r w:rsidRPr="00B413C4">
        <w:rPr>
          <w:sz w:val="21"/>
          <w:szCs w:val="21"/>
        </w:rPr>
        <w:t>acquisition of a</w:t>
      </w:r>
      <w:r w:rsidR="0028744D">
        <w:rPr>
          <w:sz w:val="21"/>
          <w:szCs w:val="21"/>
        </w:rPr>
        <w:t>n A</w:t>
      </w:r>
      <w:r w:rsidRPr="00B413C4">
        <w:rPr>
          <w:sz w:val="21"/>
          <w:szCs w:val="21"/>
        </w:rPr>
        <w:t xml:space="preserve">sset </w:t>
      </w:r>
      <w:r w:rsidR="0028744D">
        <w:rPr>
          <w:sz w:val="21"/>
          <w:szCs w:val="21"/>
        </w:rPr>
        <w:t>Management company focused on renewable energy finance</w:t>
      </w:r>
      <w:r w:rsidRPr="00B413C4">
        <w:rPr>
          <w:sz w:val="21"/>
          <w:szCs w:val="21"/>
        </w:rPr>
        <w:t xml:space="preserve">, the firm will </w:t>
      </w:r>
      <w:r w:rsidR="00364AFF">
        <w:rPr>
          <w:sz w:val="21"/>
          <w:szCs w:val="21"/>
        </w:rPr>
        <w:t xml:space="preserve">soon </w:t>
      </w:r>
      <w:r w:rsidRPr="00B413C4">
        <w:rPr>
          <w:sz w:val="21"/>
          <w:szCs w:val="21"/>
        </w:rPr>
        <w:t xml:space="preserve">be in position to offer affordable financing (equity, debt or both) to firms </w:t>
      </w:r>
      <w:r w:rsidR="00364AFF">
        <w:rPr>
          <w:sz w:val="21"/>
          <w:szCs w:val="21"/>
        </w:rPr>
        <w:t>which have an association with or an element of</w:t>
      </w:r>
      <w:r w:rsidRPr="00B413C4">
        <w:rPr>
          <w:sz w:val="21"/>
          <w:szCs w:val="21"/>
        </w:rPr>
        <w:t xml:space="preserve"> “green energy” </w:t>
      </w:r>
      <w:r w:rsidR="00364AFF">
        <w:rPr>
          <w:sz w:val="21"/>
          <w:szCs w:val="21"/>
        </w:rPr>
        <w:t>as part of their product or service offering</w:t>
      </w:r>
      <w:r w:rsidRPr="00B413C4">
        <w:rPr>
          <w:sz w:val="21"/>
          <w:szCs w:val="21"/>
        </w:rPr>
        <w:t>.</w:t>
      </w:r>
    </w:p>
    <w:p w:rsidR="001C7784" w:rsidRPr="00B413C4" w:rsidRDefault="001C7784" w:rsidP="001C7784">
      <w:pPr>
        <w:rPr>
          <w:sz w:val="21"/>
          <w:szCs w:val="21"/>
        </w:rPr>
      </w:pPr>
    </w:p>
    <w:p w:rsidR="001C7784" w:rsidRPr="00B413C4" w:rsidRDefault="001C7784" w:rsidP="001C7784">
      <w:pPr>
        <w:jc w:val="center"/>
        <w:rPr>
          <w:b/>
          <w:sz w:val="21"/>
          <w:szCs w:val="21"/>
        </w:rPr>
      </w:pPr>
      <w:r w:rsidRPr="00B413C4">
        <w:rPr>
          <w:b/>
          <w:sz w:val="21"/>
          <w:szCs w:val="21"/>
        </w:rPr>
        <w:t>AEC’s Products and Services for Competitive Energy Suppliers:</w:t>
      </w:r>
    </w:p>
    <w:p w:rsidR="001C7784" w:rsidRPr="00B413C4" w:rsidRDefault="001C7784" w:rsidP="00B413C4">
      <w:pPr>
        <w:rPr>
          <w:sz w:val="21"/>
          <w:szCs w:val="21"/>
        </w:rPr>
      </w:pPr>
    </w:p>
    <w:p w:rsidR="001C7784" w:rsidRPr="00B413C4" w:rsidRDefault="001C7784" w:rsidP="00B413C4">
      <w:pPr>
        <w:rPr>
          <w:sz w:val="21"/>
          <w:szCs w:val="21"/>
        </w:rPr>
        <w:sectPr w:rsidR="001C7784" w:rsidRPr="00B413C4" w:rsidSect="007525D5">
          <w:headerReference w:type="default" r:id="rId12"/>
          <w:footerReference w:type="default" r:id="rId13"/>
          <w:pgSz w:w="12240" w:h="15840"/>
          <w:pgMar w:top="1440" w:right="1800" w:bottom="1440" w:left="1800" w:header="720" w:footer="720" w:gutter="0"/>
          <w:cols w:space="720"/>
          <w:titlePg/>
          <w:docGrid w:linePitch="360"/>
        </w:sectPr>
      </w:pPr>
    </w:p>
    <w:p w:rsidR="001C7784" w:rsidRPr="00B413C4" w:rsidRDefault="001C7784" w:rsidP="00E27C38">
      <w:pPr>
        <w:pStyle w:val="ListParagraph"/>
        <w:numPr>
          <w:ilvl w:val="0"/>
          <w:numId w:val="5"/>
        </w:numPr>
        <w:rPr>
          <w:sz w:val="21"/>
          <w:szCs w:val="21"/>
        </w:rPr>
      </w:pPr>
      <w:r w:rsidRPr="00B413C4">
        <w:rPr>
          <w:sz w:val="21"/>
          <w:szCs w:val="21"/>
        </w:rPr>
        <w:lastRenderedPageBreak/>
        <w:t>Credit and Supply Programs</w:t>
      </w:r>
    </w:p>
    <w:p w:rsidR="001C7784" w:rsidRPr="00B413C4" w:rsidRDefault="001C7784" w:rsidP="00E27C38">
      <w:pPr>
        <w:pStyle w:val="ListParagraph"/>
        <w:numPr>
          <w:ilvl w:val="0"/>
          <w:numId w:val="5"/>
        </w:numPr>
        <w:rPr>
          <w:sz w:val="21"/>
          <w:szCs w:val="21"/>
        </w:rPr>
      </w:pPr>
      <w:r w:rsidRPr="00B413C4">
        <w:rPr>
          <w:sz w:val="21"/>
          <w:szCs w:val="21"/>
        </w:rPr>
        <w:t>Incubator for Start-ups</w:t>
      </w:r>
    </w:p>
    <w:p w:rsidR="001C7784" w:rsidRPr="00B413C4" w:rsidRDefault="001C7784" w:rsidP="00E27C38">
      <w:pPr>
        <w:pStyle w:val="ListParagraph"/>
        <w:numPr>
          <w:ilvl w:val="0"/>
          <w:numId w:val="5"/>
        </w:numPr>
        <w:rPr>
          <w:sz w:val="21"/>
          <w:szCs w:val="21"/>
        </w:rPr>
      </w:pPr>
      <w:r w:rsidRPr="00B413C4">
        <w:rPr>
          <w:sz w:val="21"/>
          <w:szCs w:val="21"/>
        </w:rPr>
        <w:t>“Synthetic POR” and Receivables Finance</w:t>
      </w:r>
    </w:p>
    <w:p w:rsidR="001C7784" w:rsidRPr="00B413C4" w:rsidRDefault="001C7784" w:rsidP="00E27C38">
      <w:pPr>
        <w:pStyle w:val="ListParagraph"/>
        <w:numPr>
          <w:ilvl w:val="0"/>
          <w:numId w:val="5"/>
        </w:numPr>
        <w:rPr>
          <w:sz w:val="21"/>
          <w:szCs w:val="21"/>
        </w:rPr>
      </w:pPr>
      <w:r w:rsidRPr="00B413C4">
        <w:rPr>
          <w:sz w:val="21"/>
          <w:szCs w:val="21"/>
        </w:rPr>
        <w:t>Cash Advances on Future Sales</w:t>
      </w:r>
    </w:p>
    <w:p w:rsidR="001C7784" w:rsidRPr="00B413C4" w:rsidRDefault="001C7784" w:rsidP="00E27C38">
      <w:pPr>
        <w:pStyle w:val="ListParagraph"/>
        <w:numPr>
          <w:ilvl w:val="0"/>
          <w:numId w:val="5"/>
        </w:numPr>
        <w:rPr>
          <w:sz w:val="21"/>
          <w:szCs w:val="21"/>
        </w:rPr>
      </w:pPr>
      <w:r w:rsidRPr="00B413C4">
        <w:rPr>
          <w:sz w:val="21"/>
          <w:szCs w:val="21"/>
        </w:rPr>
        <w:t>Consulting Services</w:t>
      </w:r>
    </w:p>
    <w:p w:rsidR="001C7784" w:rsidRPr="00B413C4" w:rsidRDefault="001C7784" w:rsidP="00E27C38">
      <w:pPr>
        <w:pStyle w:val="ListParagraph"/>
        <w:numPr>
          <w:ilvl w:val="0"/>
          <w:numId w:val="5"/>
        </w:numPr>
        <w:rPr>
          <w:sz w:val="21"/>
          <w:szCs w:val="21"/>
        </w:rPr>
      </w:pPr>
      <w:r w:rsidRPr="00B413C4">
        <w:rPr>
          <w:sz w:val="21"/>
          <w:szCs w:val="21"/>
        </w:rPr>
        <w:lastRenderedPageBreak/>
        <w:t>Term Loans and Revolvers</w:t>
      </w:r>
    </w:p>
    <w:p w:rsidR="001C7784" w:rsidRPr="00B413C4" w:rsidRDefault="001C7784" w:rsidP="00E27C38">
      <w:pPr>
        <w:pStyle w:val="ListParagraph"/>
        <w:numPr>
          <w:ilvl w:val="0"/>
          <w:numId w:val="5"/>
        </w:numPr>
        <w:rPr>
          <w:sz w:val="21"/>
          <w:szCs w:val="21"/>
        </w:rPr>
      </w:pPr>
      <w:r w:rsidRPr="00B413C4">
        <w:rPr>
          <w:sz w:val="21"/>
          <w:szCs w:val="21"/>
        </w:rPr>
        <w:t>Mezzanine Loans</w:t>
      </w:r>
    </w:p>
    <w:p w:rsidR="001C7784" w:rsidRPr="00B413C4" w:rsidRDefault="001C7784" w:rsidP="00E27C38">
      <w:pPr>
        <w:pStyle w:val="ListParagraph"/>
        <w:numPr>
          <w:ilvl w:val="0"/>
          <w:numId w:val="5"/>
        </w:numPr>
        <w:rPr>
          <w:sz w:val="21"/>
          <w:szCs w:val="21"/>
        </w:rPr>
      </w:pPr>
      <w:r w:rsidRPr="00B413C4">
        <w:rPr>
          <w:sz w:val="21"/>
          <w:szCs w:val="21"/>
        </w:rPr>
        <w:t>Equity Raises</w:t>
      </w:r>
      <w:r w:rsidR="00364AFF">
        <w:rPr>
          <w:sz w:val="21"/>
          <w:szCs w:val="21"/>
        </w:rPr>
        <w:t xml:space="preserve"> (Finder)</w:t>
      </w:r>
    </w:p>
    <w:p w:rsidR="001C7784" w:rsidRPr="00B413C4" w:rsidRDefault="001C7784" w:rsidP="00E27C38">
      <w:pPr>
        <w:pStyle w:val="ListParagraph"/>
        <w:numPr>
          <w:ilvl w:val="0"/>
          <w:numId w:val="5"/>
        </w:numPr>
        <w:rPr>
          <w:sz w:val="21"/>
          <w:szCs w:val="21"/>
        </w:rPr>
      </w:pPr>
      <w:r w:rsidRPr="00B413C4">
        <w:rPr>
          <w:sz w:val="21"/>
          <w:szCs w:val="21"/>
        </w:rPr>
        <w:t>Mergers and Acquisitions</w:t>
      </w:r>
    </w:p>
    <w:p w:rsidR="00177B36" w:rsidRPr="00A7139A" w:rsidRDefault="001C7784" w:rsidP="00E27C38">
      <w:pPr>
        <w:pStyle w:val="ListParagraph"/>
        <w:numPr>
          <w:ilvl w:val="0"/>
          <w:numId w:val="5"/>
        </w:numPr>
        <w:rPr>
          <w:b/>
          <w:color w:val="70AD47" w:themeColor="accent6"/>
          <w:sz w:val="21"/>
          <w:szCs w:val="21"/>
        </w:rPr>
      </w:pPr>
      <w:r w:rsidRPr="00A7139A">
        <w:rPr>
          <w:b/>
          <w:color w:val="70AD47" w:themeColor="accent6"/>
          <w:sz w:val="21"/>
          <w:szCs w:val="21"/>
        </w:rPr>
        <w:t xml:space="preserve">Special Financing </w:t>
      </w:r>
      <w:r w:rsidR="00BA4ED0" w:rsidRPr="00A7139A">
        <w:rPr>
          <w:b/>
          <w:color w:val="70AD47" w:themeColor="accent6"/>
          <w:sz w:val="21"/>
          <w:szCs w:val="21"/>
        </w:rPr>
        <w:t xml:space="preserve">Program </w:t>
      </w:r>
      <w:r w:rsidRPr="00A7139A">
        <w:rPr>
          <w:b/>
          <w:color w:val="70AD47" w:themeColor="accent6"/>
          <w:sz w:val="21"/>
          <w:szCs w:val="21"/>
        </w:rPr>
        <w:t>for Green Offerings</w:t>
      </w:r>
    </w:p>
    <w:p w:rsidR="001C7784" w:rsidRDefault="001C7784" w:rsidP="00B413C4">
      <w:pPr>
        <w:rPr>
          <w:sz w:val="22"/>
          <w:szCs w:val="22"/>
        </w:rPr>
        <w:sectPr w:rsidR="001C7784" w:rsidSect="001C7784">
          <w:type w:val="continuous"/>
          <w:pgSz w:w="12240" w:h="15840"/>
          <w:pgMar w:top="1440" w:right="1800" w:bottom="1440" w:left="1800" w:header="720" w:footer="720" w:gutter="0"/>
          <w:cols w:num="2" w:space="720"/>
          <w:titlePg/>
          <w:docGrid w:linePitch="360"/>
        </w:sectPr>
      </w:pPr>
    </w:p>
    <w:p w:rsidR="00E27C38" w:rsidRDefault="00E27C38" w:rsidP="00177B36">
      <w:pPr>
        <w:rPr>
          <w:sz w:val="22"/>
          <w:szCs w:val="22"/>
        </w:rPr>
      </w:pPr>
      <w:bookmarkStart w:id="0" w:name="_GoBack"/>
      <w:bookmarkEnd w:id="0"/>
    </w:p>
    <w:sectPr w:rsidR="00E27C38" w:rsidSect="001C7784">
      <w:type w:val="continuous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98E" w:rsidRDefault="0024798E" w:rsidP="007525D5">
      <w:r>
        <w:separator/>
      </w:r>
    </w:p>
  </w:endnote>
  <w:endnote w:type="continuationSeparator" w:id="0">
    <w:p w:rsidR="0024798E" w:rsidRDefault="0024798E" w:rsidP="00752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9922372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24798E" w:rsidRPr="00AE4766" w:rsidRDefault="0024798E">
        <w:pPr>
          <w:pStyle w:val="Footer"/>
          <w:jc w:val="right"/>
          <w:rPr>
            <w:b/>
          </w:rPr>
        </w:pPr>
        <w:r w:rsidRPr="00AE4766">
          <w:rPr>
            <w:b/>
          </w:rPr>
          <w:fldChar w:fldCharType="begin"/>
        </w:r>
        <w:r w:rsidRPr="00AE4766">
          <w:rPr>
            <w:b/>
          </w:rPr>
          <w:instrText xml:space="preserve"> PAGE   \* MERGEFORMAT </w:instrText>
        </w:r>
        <w:r w:rsidRPr="00AE4766">
          <w:rPr>
            <w:b/>
          </w:rPr>
          <w:fldChar w:fldCharType="separate"/>
        </w:r>
        <w:r w:rsidR="00FB697F">
          <w:rPr>
            <w:b/>
            <w:noProof/>
          </w:rPr>
          <w:t>44</w:t>
        </w:r>
        <w:r w:rsidRPr="00AE4766">
          <w:rPr>
            <w:b/>
            <w:noProof/>
          </w:rPr>
          <w:fldChar w:fldCharType="end"/>
        </w:r>
      </w:p>
    </w:sdtContent>
  </w:sdt>
  <w:p w:rsidR="0024798E" w:rsidRDefault="002479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98E" w:rsidRDefault="0024798E" w:rsidP="007525D5">
      <w:r>
        <w:separator/>
      </w:r>
    </w:p>
  </w:footnote>
  <w:footnote w:type="continuationSeparator" w:id="0">
    <w:p w:rsidR="0024798E" w:rsidRDefault="0024798E" w:rsidP="00752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8E" w:rsidRDefault="0024798E" w:rsidP="007525D5">
    <w:pPr>
      <w:pStyle w:val="Header"/>
      <w:jc w:val="center"/>
    </w:pPr>
    <w:r>
      <w:rPr>
        <w:b/>
        <w:noProof/>
        <w:sz w:val="28"/>
        <w:szCs w:val="28"/>
        <w:lang w:eastAsia="en-US"/>
      </w:rPr>
      <w:drawing>
        <wp:inline distT="0" distB="0" distL="0" distR="0" wp14:anchorId="4EA983CC" wp14:editId="58321AC6">
          <wp:extent cx="3867150" cy="1318194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8695" cy="1325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98E" w:rsidRDefault="002479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5DBE"/>
    <w:multiLevelType w:val="hybridMultilevel"/>
    <w:tmpl w:val="31087D66"/>
    <w:lvl w:ilvl="0" w:tplc="1F6015A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A4448"/>
    <w:multiLevelType w:val="hybridMultilevel"/>
    <w:tmpl w:val="804EBE9A"/>
    <w:lvl w:ilvl="0" w:tplc="39E0D15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DC2704"/>
    <w:multiLevelType w:val="multilevel"/>
    <w:tmpl w:val="FF28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0729B"/>
    <w:multiLevelType w:val="hybridMultilevel"/>
    <w:tmpl w:val="E03853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8AC2EEA"/>
    <w:multiLevelType w:val="hybridMultilevel"/>
    <w:tmpl w:val="F188B39C"/>
    <w:lvl w:ilvl="0" w:tplc="1F6015A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F4"/>
    <w:rsid w:val="000261DA"/>
    <w:rsid w:val="000314F4"/>
    <w:rsid w:val="00031789"/>
    <w:rsid w:val="000436A0"/>
    <w:rsid w:val="00084942"/>
    <w:rsid w:val="000A2A15"/>
    <w:rsid w:val="00121A43"/>
    <w:rsid w:val="00144004"/>
    <w:rsid w:val="00144D0E"/>
    <w:rsid w:val="00177B36"/>
    <w:rsid w:val="001962F5"/>
    <w:rsid w:val="001A2AE1"/>
    <w:rsid w:val="001B57EE"/>
    <w:rsid w:val="001B6028"/>
    <w:rsid w:val="001C7784"/>
    <w:rsid w:val="001F08AC"/>
    <w:rsid w:val="0024798E"/>
    <w:rsid w:val="00250DF6"/>
    <w:rsid w:val="00283774"/>
    <w:rsid w:val="0028744D"/>
    <w:rsid w:val="002A5E74"/>
    <w:rsid w:val="002C0670"/>
    <w:rsid w:val="002D3761"/>
    <w:rsid w:val="002D3C7E"/>
    <w:rsid w:val="002F27B5"/>
    <w:rsid w:val="003016D9"/>
    <w:rsid w:val="00303B64"/>
    <w:rsid w:val="00311B38"/>
    <w:rsid w:val="00350C15"/>
    <w:rsid w:val="00364AFF"/>
    <w:rsid w:val="0038618C"/>
    <w:rsid w:val="00391E85"/>
    <w:rsid w:val="003A427A"/>
    <w:rsid w:val="003B3F45"/>
    <w:rsid w:val="003F2645"/>
    <w:rsid w:val="00437BB1"/>
    <w:rsid w:val="004751AC"/>
    <w:rsid w:val="004A7D8B"/>
    <w:rsid w:val="00515CB2"/>
    <w:rsid w:val="005237B3"/>
    <w:rsid w:val="00526A8E"/>
    <w:rsid w:val="00544D0F"/>
    <w:rsid w:val="00557E4E"/>
    <w:rsid w:val="005740E0"/>
    <w:rsid w:val="00574293"/>
    <w:rsid w:val="00584469"/>
    <w:rsid w:val="00593074"/>
    <w:rsid w:val="005B253D"/>
    <w:rsid w:val="005C18F9"/>
    <w:rsid w:val="005F6E3E"/>
    <w:rsid w:val="0065304D"/>
    <w:rsid w:val="00667ADF"/>
    <w:rsid w:val="00676A76"/>
    <w:rsid w:val="00685078"/>
    <w:rsid w:val="006962DD"/>
    <w:rsid w:val="006C227B"/>
    <w:rsid w:val="006F06F8"/>
    <w:rsid w:val="007430F5"/>
    <w:rsid w:val="007525D5"/>
    <w:rsid w:val="007612B5"/>
    <w:rsid w:val="0077045C"/>
    <w:rsid w:val="00771F9D"/>
    <w:rsid w:val="007B07CF"/>
    <w:rsid w:val="00810FB9"/>
    <w:rsid w:val="00812275"/>
    <w:rsid w:val="00820362"/>
    <w:rsid w:val="00831A71"/>
    <w:rsid w:val="0083695D"/>
    <w:rsid w:val="00844741"/>
    <w:rsid w:val="00855914"/>
    <w:rsid w:val="00874597"/>
    <w:rsid w:val="00877CE4"/>
    <w:rsid w:val="008B08D0"/>
    <w:rsid w:val="008B2114"/>
    <w:rsid w:val="008B52D2"/>
    <w:rsid w:val="008C6684"/>
    <w:rsid w:val="009421E5"/>
    <w:rsid w:val="00982080"/>
    <w:rsid w:val="009C7319"/>
    <w:rsid w:val="009E1798"/>
    <w:rsid w:val="00A07B2D"/>
    <w:rsid w:val="00A53779"/>
    <w:rsid w:val="00A61EC0"/>
    <w:rsid w:val="00A643A0"/>
    <w:rsid w:val="00A70FD3"/>
    <w:rsid w:val="00A7139A"/>
    <w:rsid w:val="00A9137D"/>
    <w:rsid w:val="00A94397"/>
    <w:rsid w:val="00AB0963"/>
    <w:rsid w:val="00AC5D7D"/>
    <w:rsid w:val="00AE4766"/>
    <w:rsid w:val="00B26E10"/>
    <w:rsid w:val="00B362EB"/>
    <w:rsid w:val="00B413C4"/>
    <w:rsid w:val="00B41904"/>
    <w:rsid w:val="00B456E0"/>
    <w:rsid w:val="00B71431"/>
    <w:rsid w:val="00B846BC"/>
    <w:rsid w:val="00B93A10"/>
    <w:rsid w:val="00BA2981"/>
    <w:rsid w:val="00BA33F0"/>
    <w:rsid w:val="00BA4ED0"/>
    <w:rsid w:val="00BC6C9A"/>
    <w:rsid w:val="00BD4C4C"/>
    <w:rsid w:val="00BD66C6"/>
    <w:rsid w:val="00BE4582"/>
    <w:rsid w:val="00BF5326"/>
    <w:rsid w:val="00C41A3F"/>
    <w:rsid w:val="00C43C24"/>
    <w:rsid w:val="00C7214D"/>
    <w:rsid w:val="00C90389"/>
    <w:rsid w:val="00CA416C"/>
    <w:rsid w:val="00CD670D"/>
    <w:rsid w:val="00CF5972"/>
    <w:rsid w:val="00D4266D"/>
    <w:rsid w:val="00D42FA7"/>
    <w:rsid w:val="00D55227"/>
    <w:rsid w:val="00D73022"/>
    <w:rsid w:val="00D86EC4"/>
    <w:rsid w:val="00DC210E"/>
    <w:rsid w:val="00E135C6"/>
    <w:rsid w:val="00E27C38"/>
    <w:rsid w:val="00E40D3F"/>
    <w:rsid w:val="00E537C0"/>
    <w:rsid w:val="00E7180F"/>
    <w:rsid w:val="00E7712C"/>
    <w:rsid w:val="00EB5623"/>
    <w:rsid w:val="00EF0B07"/>
    <w:rsid w:val="00F21082"/>
    <w:rsid w:val="00F458A1"/>
    <w:rsid w:val="00F553D2"/>
    <w:rsid w:val="00F60FDB"/>
    <w:rsid w:val="00F81FA8"/>
    <w:rsid w:val="00F9551F"/>
    <w:rsid w:val="00F9682B"/>
    <w:rsid w:val="00FB697F"/>
    <w:rsid w:val="00FC1E73"/>
    <w:rsid w:val="00FC2635"/>
    <w:rsid w:val="00FC2B27"/>
    <w:rsid w:val="00FD67CF"/>
    <w:rsid w:val="00FE02BB"/>
    <w:rsid w:val="00FE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A2981"/>
    <w:rPr>
      <w:b/>
      <w:bCs/>
    </w:rPr>
  </w:style>
  <w:style w:type="character" w:styleId="Hyperlink">
    <w:name w:val="Hyperlink"/>
    <w:basedOn w:val="DefaultParagraphFont"/>
    <w:uiPriority w:val="99"/>
    <w:rsid w:val="00177B3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rsid w:val="007525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5D5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7525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5D5"/>
    <w:rPr>
      <w:sz w:val="24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8B52D2"/>
    <w:rPr>
      <w:rFonts w:ascii="Calibri" w:hAnsi="Calibri" w:cstheme="minorBidi"/>
      <w:sz w:val="22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B52D2"/>
    <w:rPr>
      <w:rFonts w:ascii="Calibri" w:hAnsi="Calibr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93074"/>
    <w:pPr>
      <w:ind w:left="720"/>
      <w:contextualSpacing/>
    </w:pPr>
  </w:style>
  <w:style w:type="table" w:styleId="TableGrid">
    <w:name w:val="Table Grid"/>
    <w:basedOn w:val="TableNormal"/>
    <w:rsid w:val="00942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91E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91E85"/>
    <w:rPr>
      <w:rFonts w:ascii="Segoe UI" w:hAnsi="Segoe UI" w:cs="Segoe UI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A2981"/>
    <w:rPr>
      <w:b/>
      <w:bCs/>
    </w:rPr>
  </w:style>
  <w:style w:type="character" w:styleId="Hyperlink">
    <w:name w:val="Hyperlink"/>
    <w:basedOn w:val="DefaultParagraphFont"/>
    <w:uiPriority w:val="99"/>
    <w:rsid w:val="00177B3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rsid w:val="007525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5D5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7525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5D5"/>
    <w:rPr>
      <w:sz w:val="24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8B52D2"/>
    <w:rPr>
      <w:rFonts w:ascii="Calibri" w:hAnsi="Calibri" w:cstheme="minorBidi"/>
      <w:sz w:val="22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B52D2"/>
    <w:rPr>
      <w:rFonts w:ascii="Calibri" w:hAnsi="Calibr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93074"/>
    <w:pPr>
      <w:ind w:left="720"/>
      <w:contextualSpacing/>
    </w:pPr>
  </w:style>
  <w:style w:type="table" w:styleId="TableGrid">
    <w:name w:val="Table Grid"/>
    <w:basedOn w:val="TableNormal"/>
    <w:rsid w:val="00942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91E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91E85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vancedenergycap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d@advancedenergycap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A744A-4795-4C70-8A1C-256C3039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1</Pages>
  <Words>286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Bruh</dc:creator>
  <cp:keywords/>
  <dc:description/>
  <cp:lastModifiedBy>Jack Doueck</cp:lastModifiedBy>
  <cp:revision>3</cp:revision>
  <cp:lastPrinted>2014-02-11T19:06:00Z</cp:lastPrinted>
  <dcterms:created xsi:type="dcterms:W3CDTF">2014-02-19T21:28:00Z</dcterms:created>
  <dcterms:modified xsi:type="dcterms:W3CDTF">2014-02-20T19:51:00Z</dcterms:modified>
</cp:coreProperties>
</file>